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9E" w:rsidRPr="00A5250A" w:rsidRDefault="00962A9E" w:rsidP="00962A9E">
      <w:pPr>
        <w:pStyle w:val="PolicyTitle"/>
        <w:tabs>
          <w:tab w:val="left" w:pos="2747"/>
          <w:tab w:val="center" w:pos="4680"/>
        </w:tabs>
        <w:jc w:val="left"/>
      </w:pPr>
      <w:r>
        <w:tab/>
      </w:r>
      <w:r>
        <w:tab/>
      </w:r>
      <w:r w:rsidRPr="00A5250A">
        <w:t>TRUSTEE’S SALE GUARANTEE</w:t>
      </w:r>
    </w:p>
    <w:p w:rsidR="000273B8" w:rsidRPr="000273B8" w:rsidRDefault="000273B8" w:rsidP="000273B8">
      <w:pPr>
        <w:keepLines/>
        <w:spacing w:before="240" w:after="240"/>
        <w:jc w:val="center"/>
        <w:rPr>
          <w:rFonts w:eastAsia="Calibri" w:cs="Times New Roman"/>
          <w:b/>
        </w:rPr>
      </w:pPr>
      <w:r w:rsidRPr="000273B8">
        <w:rPr>
          <w:rFonts w:eastAsia="Calibri" w:cs="Times New Roman"/>
          <w:b/>
        </w:rPr>
        <w:t>SCHEDULE B</w:t>
      </w:r>
    </w:p>
    <w:p w:rsidR="000273B8" w:rsidRPr="000273B8" w:rsidRDefault="000273B8" w:rsidP="000273B8">
      <w:pPr>
        <w:keepLines/>
        <w:tabs>
          <w:tab w:val="left" w:pos="720"/>
        </w:tabs>
        <w:ind w:left="360"/>
        <w:rPr>
          <w:rFonts w:eastAsia="Calibri" w:cs="Times New Roman"/>
          <w:b/>
        </w:rPr>
      </w:pPr>
      <w:r w:rsidRPr="000273B8">
        <w:rPr>
          <w:rFonts w:eastAsia="Calibri" w:cs="Times New Roman"/>
          <w:b/>
        </w:rPr>
        <w:t>GENERAL EXCEPTIONS FROM COVERAGE</w:t>
      </w:r>
    </w:p>
    <w:p w:rsidR="000273B8" w:rsidRPr="000273B8" w:rsidRDefault="000273B8" w:rsidP="000273B8">
      <w:pPr>
        <w:rPr>
          <w:rFonts w:eastAsia="Calibri" w:cs="Times New Roman"/>
        </w:rPr>
      </w:pPr>
      <w:r w:rsidRPr="000273B8">
        <w:rPr>
          <w:rFonts w:eastAsia="Calibri" w:cs="Times New Roman"/>
        </w:rPr>
        <w:t>A.</w:t>
      </w:r>
      <w:r w:rsidRPr="000273B8">
        <w:rPr>
          <w:rFonts w:eastAsia="Calibri" w:cs="Times New Roman"/>
        </w:rPr>
        <w:tab/>
        <w:t>Taxes or special assessments which are not shown as existing liens by the public records.</w:t>
      </w:r>
    </w:p>
    <w:p w:rsidR="000273B8" w:rsidRPr="000273B8" w:rsidRDefault="000273B8" w:rsidP="000273B8">
      <w:pPr>
        <w:ind w:left="720" w:hanging="720"/>
        <w:rPr>
          <w:rFonts w:eastAsia="Calibri" w:cs="Times New Roman"/>
        </w:rPr>
      </w:pPr>
      <w:r w:rsidRPr="000273B8">
        <w:rPr>
          <w:rFonts w:eastAsia="Calibri" w:cs="Times New Roman"/>
        </w:rPr>
        <w:t>B.</w:t>
      </w:r>
      <w:r w:rsidRPr="000273B8">
        <w:rPr>
          <w:rFonts w:eastAsia="Calibri" w:cs="Times New Roman"/>
        </w:rPr>
        <w:tab/>
        <w:t>(i) Unpatented mining claims; (ii) reservations or exceptions in patents or in Acts authorizing the issuance thereof; (iii) water rights, claims or title to water; whether or not the matters described in (i). (ii) &amp; (iii) are shown in the public records; (iv) Indian tribal codes or regulations, Indian treaty or aboriginal rights, including easements or equitable servitudes.</w:t>
      </w:r>
    </w:p>
    <w:p w:rsidR="000273B8" w:rsidRPr="000273B8" w:rsidRDefault="000273B8" w:rsidP="000273B8">
      <w:pPr>
        <w:rPr>
          <w:rFonts w:eastAsia="Calibri" w:cs="Times New Roman"/>
        </w:rPr>
      </w:pPr>
      <w:r w:rsidRPr="000273B8">
        <w:rPr>
          <w:rFonts w:eastAsia="Calibri" w:cs="Times New Roman"/>
        </w:rPr>
        <w:t>C.</w:t>
      </w:r>
      <w:r w:rsidRPr="000273B8">
        <w:rPr>
          <w:rFonts w:eastAsia="Calibri" w:cs="Times New Roman"/>
        </w:rPr>
        <w:tab/>
        <w:t>Extended coverage exceptions, as follows:</w:t>
      </w:r>
    </w:p>
    <w:p w:rsidR="000273B8" w:rsidRPr="000273B8" w:rsidRDefault="000273B8" w:rsidP="000273B8">
      <w:pPr>
        <w:ind w:firstLine="720"/>
        <w:rPr>
          <w:rFonts w:eastAsia="Calibri" w:cs="Times New Roman"/>
        </w:rPr>
      </w:pPr>
      <w:r w:rsidRPr="000273B8">
        <w:rPr>
          <w:rFonts w:eastAsia="Calibri" w:cs="Times New Roman"/>
        </w:rPr>
        <w:t>a.</w:t>
      </w:r>
      <w:r w:rsidRPr="000273B8">
        <w:rPr>
          <w:rFonts w:eastAsia="Calibri" w:cs="Times New Roman"/>
        </w:rPr>
        <w:tab/>
        <w:t>Rights or claims of parties in possession not shown by the public records.</w:t>
      </w:r>
    </w:p>
    <w:p w:rsidR="000273B8" w:rsidRPr="000273B8" w:rsidRDefault="000273B8" w:rsidP="000273B8">
      <w:pPr>
        <w:ind w:firstLine="720"/>
        <w:rPr>
          <w:rFonts w:eastAsia="Calibri" w:cs="Times New Roman"/>
        </w:rPr>
      </w:pPr>
      <w:r w:rsidRPr="000273B8">
        <w:rPr>
          <w:rFonts w:eastAsia="Calibri" w:cs="Times New Roman"/>
        </w:rPr>
        <w:t>b.</w:t>
      </w:r>
      <w:r w:rsidRPr="000273B8">
        <w:rPr>
          <w:rFonts w:eastAsia="Calibri" w:cs="Times New Roman"/>
        </w:rPr>
        <w:tab/>
        <w:t>Easements, or claims of easements, not shown by the public records.</w:t>
      </w:r>
    </w:p>
    <w:p w:rsidR="000273B8" w:rsidRPr="000273B8" w:rsidRDefault="000273B8" w:rsidP="000273B8">
      <w:pPr>
        <w:ind w:left="1440" w:hanging="720"/>
        <w:rPr>
          <w:rFonts w:eastAsia="Calibri" w:cs="Times New Roman"/>
        </w:rPr>
      </w:pPr>
      <w:r w:rsidRPr="000273B8">
        <w:rPr>
          <w:rFonts w:eastAsia="Calibri" w:cs="Times New Roman"/>
        </w:rPr>
        <w:t>c.</w:t>
      </w:r>
      <w:r w:rsidRPr="000273B8">
        <w:rPr>
          <w:rFonts w:eastAsia="Calibri" w:cs="Times New Roman"/>
        </w:rPr>
        <w:tab/>
        <w:t>Encroachments, overlaps, boundary line disputes or other matters which would be disclosed by an accurate survey or inspections of the premises which are not shown by the public records.</w:t>
      </w:r>
    </w:p>
    <w:p w:rsidR="000273B8" w:rsidRPr="000273B8" w:rsidRDefault="000273B8" w:rsidP="000273B8">
      <w:pPr>
        <w:ind w:left="1440" w:hanging="720"/>
        <w:rPr>
          <w:rFonts w:eastAsia="Calibri" w:cs="Times New Roman"/>
        </w:rPr>
      </w:pPr>
      <w:r w:rsidRPr="000273B8">
        <w:rPr>
          <w:rFonts w:eastAsia="Calibri" w:cs="Times New Roman"/>
        </w:rPr>
        <w:t>d.</w:t>
      </w:r>
      <w:r w:rsidRPr="000273B8">
        <w:rPr>
          <w:rFonts w:eastAsia="Calibri" w:cs="Times New Roman"/>
        </w:rPr>
        <w:tab/>
        <w:t>Any lien, or right to a Lien, for services, labor, or material hereto or hereafter furnished, imposed by law and not shown by the public records.</w:t>
      </w:r>
    </w:p>
    <w:p w:rsidR="000273B8" w:rsidRPr="000273B8" w:rsidRDefault="000273B8" w:rsidP="000273B8">
      <w:pPr>
        <w:ind w:left="720" w:hanging="720"/>
        <w:rPr>
          <w:rFonts w:eastAsia="Calibri" w:cs="Times New Roman"/>
        </w:rPr>
      </w:pPr>
      <w:r w:rsidRPr="000273B8">
        <w:rPr>
          <w:rFonts w:eastAsia="Calibri" w:cs="Times New Roman"/>
        </w:rPr>
        <w:t>D.</w:t>
      </w:r>
      <w:r w:rsidRPr="000273B8">
        <w:rPr>
          <w:rFonts w:eastAsia="Calibri" w:cs="Times New Roman"/>
        </w:rPr>
        <w:tab/>
        <w:t>Any service, installation, connection, maintenance, tap, capacity, construction or reimbursement charges for sewer, water, electricity or other utilities, or for garbage collections and disposal.</w:t>
      </w:r>
    </w:p>
    <w:p w:rsidR="000273B8" w:rsidRPr="000273B8" w:rsidRDefault="000273B8" w:rsidP="000273B8">
      <w:pPr>
        <w:ind w:left="720" w:hanging="720"/>
        <w:rPr>
          <w:rFonts w:eastAsia="Calibri" w:cs="Times New Roman"/>
        </w:rPr>
      </w:pPr>
      <w:r w:rsidRPr="000273B8">
        <w:rPr>
          <w:rFonts w:eastAsia="Calibri" w:cs="Times New Roman"/>
        </w:rPr>
        <w:t>E.</w:t>
      </w:r>
      <w:r w:rsidRPr="000273B8">
        <w:rPr>
          <w:rFonts w:eastAsia="Calibri" w:cs="Times New Roman"/>
        </w:rPr>
        <w:tab/>
        <w:t>Defect, liens, encumbrances, adverse claims or other matters, if any, created, first appearing in the public records or attaching subsequent to the effective date hereof but prior to the date the proposed insured acquires of record for value the estate or interest or mortgage thereon covered by this commitment.</w:t>
      </w:r>
    </w:p>
    <w:p w:rsidR="000273B8" w:rsidRPr="000273B8" w:rsidRDefault="000273B8" w:rsidP="000273B8">
      <w:pPr>
        <w:ind w:left="720" w:hanging="720"/>
        <w:rPr>
          <w:rFonts w:eastAsia="Calibri" w:cs="Times New Roman"/>
        </w:rPr>
      </w:pPr>
      <w:r w:rsidRPr="000273B8">
        <w:rPr>
          <w:rFonts w:eastAsia="Calibri" w:cs="Times New Roman"/>
        </w:rPr>
        <w:t>F.</w:t>
      </w:r>
      <w:r w:rsidRPr="000273B8">
        <w:rPr>
          <w:rFonts w:eastAsia="Calibri" w:cs="Times New Roman"/>
        </w:rPr>
        <w:tab/>
        <w:t>Any title or rights asserted by anyone, including but not limited to persons, corporations, governments or other entities, to tidelands, or lands comprising the shores or bottoms of navigable rivers, lakes, bays, ocean or gulf, or lands beyond the line of the harbor or bulkhead lines as established or changed by the United States Government, or riparian rights, if any.</w:t>
      </w:r>
    </w:p>
    <w:p w:rsidR="000273B8" w:rsidRPr="000273B8" w:rsidRDefault="000273B8" w:rsidP="000273B8">
      <w:pPr>
        <w:jc w:val="center"/>
        <w:rPr>
          <w:rFonts w:eastAsia="Calibri" w:cs="Times New Roman"/>
          <w:b/>
          <w:sz w:val="18"/>
          <w:szCs w:val="18"/>
        </w:rPr>
      </w:pPr>
      <w:r w:rsidRPr="000273B8">
        <w:rPr>
          <w:rFonts w:eastAsia="Calibri" w:cs="Times New Roman"/>
          <w:b/>
        </w:rPr>
        <w:t>End of General Exceptions</w:t>
      </w:r>
      <w:r w:rsidRPr="000273B8">
        <w:rPr>
          <w:b/>
          <w:sz w:val="18"/>
          <w:szCs w:val="18"/>
        </w:rPr>
        <w:br w:type="page"/>
      </w:r>
    </w:p>
    <w:p w:rsidR="00962A9E" w:rsidRPr="00343F10" w:rsidRDefault="00962A9E" w:rsidP="00962A9E">
      <w:pPr>
        <w:pStyle w:val="SFJustifiedALLCaps"/>
        <w:spacing w:after="120"/>
        <w:rPr>
          <w:sz w:val="20"/>
          <w:szCs w:val="20"/>
        </w:rPr>
      </w:pPr>
      <w:r w:rsidRPr="00343F10">
        <w:rPr>
          <w:sz w:val="20"/>
          <w:szCs w:val="20"/>
        </w:rPr>
        <w:lastRenderedPageBreak/>
        <w:t>ART OF THIS GUARANTEE.</w:t>
      </w:r>
    </w:p>
    <w:sectPr w:rsidR="00962A9E" w:rsidRPr="00343F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B6" w:rsidRDefault="00C146B6" w:rsidP="00962A9E">
      <w:pPr>
        <w:spacing w:after="0"/>
      </w:pPr>
      <w:r>
        <w:separator/>
      </w:r>
    </w:p>
  </w:endnote>
  <w:endnote w:type="continuationSeparator" w:id="0">
    <w:p w:rsidR="00C146B6" w:rsidRDefault="00C146B6" w:rsidP="00962A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B8" w:rsidRDefault="00027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9E" w:rsidRDefault="00962A9E" w:rsidP="00962A9E">
    <w:pPr>
      <w:pStyle w:val="Footer"/>
      <w:tabs>
        <w:tab w:val="clear" w:pos="4680"/>
        <w:tab w:val="clear" w:pos="9360"/>
        <w:tab w:val="left" w:pos="6679"/>
      </w:tabs>
    </w:pPr>
    <w:r>
      <w:t>WFG Form No. 3167553</w:t>
    </w:r>
    <w:r>
      <w:t>-</w:t>
    </w:r>
    <w:r w:rsidR="000273B8">
      <w:t>B</w:t>
    </w:r>
    <w:r>
      <w:tab/>
    </w:r>
  </w:p>
  <w:p w:rsidR="00962A9E" w:rsidRDefault="00962A9E" w:rsidP="00962A9E">
    <w:pPr>
      <w:pStyle w:val="Footer"/>
    </w:pPr>
    <w:r>
      <w:t xml:space="preserve">Washington modified </w:t>
    </w:r>
    <w:r w:rsidRPr="00CE0598">
      <w:t>CLTA Guarantee Form No. 22 (06-</w:t>
    </w:r>
    <w:r>
      <w:t>17-06</w:t>
    </w:r>
    <w:r w:rsidRPr="00CE0598">
      <w:t>) - Trustee's Sale Guarantee</w:t>
    </w:r>
    <w:r>
      <w:t xml:space="preserve"> – Schedule </w:t>
    </w:r>
    <w:r w:rsidR="000273B8">
      <w:t>B</w:t>
    </w:r>
    <w:bookmarkStart w:id="0" w:name="_GoBack"/>
    <w:bookmarkEnd w:id="0"/>
  </w:p>
  <w:p w:rsidR="00962A9E" w:rsidRDefault="00962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B8" w:rsidRDefault="0002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B6" w:rsidRDefault="00C146B6" w:rsidP="00962A9E">
      <w:pPr>
        <w:spacing w:after="0"/>
      </w:pPr>
      <w:r>
        <w:separator/>
      </w:r>
    </w:p>
  </w:footnote>
  <w:footnote w:type="continuationSeparator" w:id="0">
    <w:p w:rsidR="00C146B6" w:rsidRDefault="00C146B6" w:rsidP="00962A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B8" w:rsidRDefault="00027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B8" w:rsidRDefault="00027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B8" w:rsidRDefault="00027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45715237"/>
    <w:multiLevelType w:val="multilevel"/>
    <w:tmpl w:val="AAD4026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6945BD"/>
    <w:multiLevelType w:val="hybridMultilevel"/>
    <w:tmpl w:val="591612EE"/>
    <w:lvl w:ilvl="0" w:tplc="FFF26F72">
      <w:start w:val="1"/>
      <w:numFmt w:val="decimal"/>
      <w:pStyle w:val="PolicySchedule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9E"/>
    <w:rsid w:val="000273B8"/>
    <w:rsid w:val="005F0104"/>
    <w:rsid w:val="006854D9"/>
    <w:rsid w:val="00962A9E"/>
    <w:rsid w:val="00C1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5061-3F61-4FBC-B5A7-756F6692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9E"/>
    <w:pPr>
      <w:spacing w:after="120" w:line="240" w:lineRule="auto"/>
    </w:pPr>
    <w:rPr>
      <w:rFonts w:ascii="Arial" w:hAnsi="Arial"/>
      <w:sz w:val="20"/>
      <w:szCs w:val="20"/>
    </w:rPr>
  </w:style>
  <w:style w:type="paragraph" w:styleId="Heading3">
    <w:name w:val="heading 3"/>
    <w:basedOn w:val="Normal"/>
    <w:next w:val="Normal"/>
    <w:link w:val="Heading3Char"/>
    <w:autoRedefine/>
    <w:qFormat/>
    <w:rsid w:val="005F0104"/>
    <w:pPr>
      <w:numPr>
        <w:numId w:val="2"/>
      </w:numPr>
      <w:tabs>
        <w:tab w:val="left" w:pos="1890"/>
      </w:tabs>
      <w:spacing w:before="200"/>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customStyle="1" w:styleId="WFGStyle">
    <w:name w:val="WFG Style"/>
    <w:basedOn w:val="Normal"/>
    <w:qFormat/>
    <w:rsid w:val="00962A9E"/>
    <w:pPr>
      <w:keepLines/>
      <w:tabs>
        <w:tab w:val="left" w:pos="720"/>
      </w:tabs>
    </w:pPr>
    <w:rPr>
      <w:rFonts w:eastAsia="Calibri" w:cs="Times New Roman"/>
    </w:rPr>
  </w:style>
  <w:style w:type="paragraph" w:customStyle="1" w:styleId="WFGBOLD">
    <w:name w:val="WFG BOLD"/>
    <w:basedOn w:val="WFGStyle"/>
    <w:next w:val="WFGStyle"/>
    <w:qFormat/>
    <w:rsid w:val="00962A9E"/>
    <w:rPr>
      <w:b/>
    </w:rPr>
  </w:style>
  <w:style w:type="table" w:styleId="TableGrid">
    <w:name w:val="Table Grid"/>
    <w:basedOn w:val="TableNormal"/>
    <w:uiPriority w:val="39"/>
    <w:rsid w:val="00962A9E"/>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 Title"/>
    <w:basedOn w:val="Normal"/>
    <w:qFormat/>
    <w:rsid w:val="00962A9E"/>
    <w:pPr>
      <w:keepLines/>
      <w:spacing w:after="240"/>
      <w:jc w:val="center"/>
    </w:pPr>
    <w:rPr>
      <w:rFonts w:eastAsia="Calibri" w:cs="Times New Roman"/>
      <w:b/>
    </w:rPr>
  </w:style>
  <w:style w:type="paragraph" w:customStyle="1" w:styleId="WFGBOLDINDENT12pts">
    <w:name w:val="WFG BOLD INDENT 12pts"/>
    <w:basedOn w:val="WFGBOLD"/>
    <w:qFormat/>
    <w:rsid w:val="00962A9E"/>
    <w:pPr>
      <w:ind w:left="720"/>
    </w:pPr>
  </w:style>
  <w:style w:type="paragraph" w:customStyle="1" w:styleId="PolicyScheduleA">
    <w:name w:val="Policy Schedule A"/>
    <w:basedOn w:val="Normal"/>
    <w:next w:val="WFGBOLDINDENT12pts"/>
    <w:qFormat/>
    <w:rsid w:val="00962A9E"/>
    <w:pPr>
      <w:keepLines/>
      <w:numPr>
        <w:numId w:val="3"/>
      </w:numPr>
      <w:tabs>
        <w:tab w:val="left" w:pos="720"/>
      </w:tabs>
      <w:spacing w:before="120"/>
      <w:ind w:hanging="720"/>
      <w:jc w:val="both"/>
    </w:pPr>
    <w:rPr>
      <w:rFonts w:eastAsia="Calibri" w:cs="Times New Roman"/>
    </w:rPr>
  </w:style>
  <w:style w:type="paragraph" w:customStyle="1" w:styleId="SFJustifiedALLCaps">
    <w:name w:val="SF Justified ALL Caps"/>
    <w:basedOn w:val="Normal"/>
    <w:qFormat/>
    <w:rsid w:val="00962A9E"/>
    <w:pPr>
      <w:tabs>
        <w:tab w:val="left" w:pos="720"/>
      </w:tabs>
      <w:spacing w:after="0"/>
      <w:jc w:val="both"/>
    </w:pPr>
    <w:rPr>
      <w:rFonts w:eastAsia="Times New Roman" w:cs="Arial"/>
      <w:caps/>
      <w:sz w:val="18"/>
      <w:szCs w:val="16"/>
    </w:rPr>
  </w:style>
  <w:style w:type="paragraph" w:styleId="Header">
    <w:name w:val="header"/>
    <w:basedOn w:val="Normal"/>
    <w:link w:val="HeaderChar"/>
    <w:uiPriority w:val="99"/>
    <w:unhideWhenUsed/>
    <w:rsid w:val="00962A9E"/>
    <w:pPr>
      <w:tabs>
        <w:tab w:val="center" w:pos="4680"/>
        <w:tab w:val="right" w:pos="9360"/>
      </w:tabs>
      <w:spacing w:after="0"/>
    </w:pPr>
  </w:style>
  <w:style w:type="character" w:customStyle="1" w:styleId="HeaderChar">
    <w:name w:val="Header Char"/>
    <w:basedOn w:val="DefaultParagraphFont"/>
    <w:link w:val="Header"/>
    <w:uiPriority w:val="99"/>
    <w:rsid w:val="00962A9E"/>
    <w:rPr>
      <w:rFonts w:ascii="Arial" w:hAnsi="Arial"/>
      <w:sz w:val="20"/>
      <w:szCs w:val="20"/>
    </w:rPr>
  </w:style>
  <w:style w:type="paragraph" w:styleId="Footer">
    <w:name w:val="footer"/>
    <w:basedOn w:val="Normal"/>
    <w:link w:val="FooterChar"/>
    <w:uiPriority w:val="99"/>
    <w:unhideWhenUsed/>
    <w:rsid w:val="00962A9E"/>
    <w:pPr>
      <w:tabs>
        <w:tab w:val="center" w:pos="4680"/>
        <w:tab w:val="right" w:pos="9360"/>
      </w:tabs>
      <w:spacing w:after="0"/>
    </w:pPr>
  </w:style>
  <w:style w:type="character" w:customStyle="1" w:styleId="FooterChar">
    <w:name w:val="Footer Char"/>
    <w:basedOn w:val="DefaultParagraphFont"/>
    <w:link w:val="Footer"/>
    <w:uiPriority w:val="99"/>
    <w:rsid w:val="00962A9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2023-03-22T18:57:00Z</dcterms:created>
  <dcterms:modified xsi:type="dcterms:W3CDTF">2023-03-22T18:57:00Z</dcterms:modified>
</cp:coreProperties>
</file>